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9B6" w:rsidRDefault="00231143">
      <w:pPr>
        <w:autoSpaceDE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74.35pt;margin-top:-28.2pt;width:80.25pt;height:80.25pt;z-index:-251658752" filled="t">
            <v:fill color2="black"/>
            <v:imagedata r:id="rId7" o:title=""/>
          </v:shape>
        </w:pict>
      </w:r>
      <w:r w:rsidR="006379B6">
        <w:t xml:space="preserve">                                                                  </w:t>
      </w:r>
    </w:p>
    <w:p w:rsidR="006379B6" w:rsidRDefault="006379B6">
      <w:pPr>
        <w:autoSpaceDE w:val="0"/>
        <w:jc w:val="center"/>
      </w:pPr>
    </w:p>
    <w:p w:rsidR="00231143" w:rsidRDefault="00231143">
      <w:pPr>
        <w:pStyle w:val="2"/>
        <w:jc w:val="center"/>
        <w:rPr>
          <w:rFonts w:ascii="Times New Roman" w:hAnsi="Times New Roman"/>
          <w:szCs w:val="28"/>
        </w:rPr>
      </w:pPr>
    </w:p>
    <w:p w:rsidR="00231143" w:rsidRDefault="00231143" w:rsidP="00231143">
      <w:pPr>
        <w:pStyle w:val="2"/>
        <w:numPr>
          <w:ilvl w:val="0"/>
          <w:numId w:val="0"/>
        </w:numPr>
        <w:ind w:left="576" w:hanging="576"/>
        <w:jc w:val="center"/>
        <w:rPr>
          <w:rFonts w:ascii="Times New Roman" w:hAnsi="Times New Roman"/>
          <w:szCs w:val="28"/>
        </w:rPr>
      </w:pPr>
    </w:p>
    <w:p w:rsidR="00231143" w:rsidRPr="00231143" w:rsidRDefault="00231143" w:rsidP="00231143"/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КЕМЕРОВСКАЯ ОБЛАСТЬ</w:t>
      </w:r>
    </w:p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ТАШТАГОЛЬСКИЙ МУНИЦИПАЛЬНЫЙ РАЙОН</w:t>
      </w:r>
    </w:p>
    <w:p w:rsidR="006379B6" w:rsidRDefault="006379B6"/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</w:t>
      </w:r>
    </w:p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ТАШТАГОЛЬСКОГО МУНИЦИПАЛЬНОГО РАЙОНА</w:t>
      </w:r>
    </w:p>
    <w:p w:rsidR="006379B6" w:rsidRDefault="006379B6">
      <w:pPr>
        <w:jc w:val="center"/>
        <w:rPr>
          <w:szCs w:val="28"/>
        </w:rPr>
      </w:pPr>
    </w:p>
    <w:p w:rsidR="006379B6" w:rsidRDefault="006379B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379B6" w:rsidRDefault="006379B6">
      <w:pPr>
        <w:jc w:val="center"/>
        <w:rPr>
          <w:szCs w:val="24"/>
        </w:rPr>
      </w:pPr>
    </w:p>
    <w:p w:rsidR="006379B6" w:rsidRDefault="006379B6">
      <w:pPr>
        <w:rPr>
          <w:szCs w:val="28"/>
        </w:rPr>
      </w:pPr>
      <w:r>
        <w:rPr>
          <w:szCs w:val="28"/>
        </w:rPr>
        <w:t>От «_</w:t>
      </w:r>
      <w:r w:rsidR="006931AA">
        <w:rPr>
          <w:szCs w:val="28"/>
        </w:rPr>
        <w:t>13</w:t>
      </w:r>
      <w:r>
        <w:rPr>
          <w:szCs w:val="28"/>
        </w:rPr>
        <w:t>_ »</w:t>
      </w:r>
      <w:proofErr w:type="spellStart"/>
      <w:r>
        <w:rPr>
          <w:szCs w:val="28"/>
        </w:rPr>
        <w:t>_</w:t>
      </w:r>
      <w:r w:rsidR="006931AA">
        <w:rPr>
          <w:szCs w:val="28"/>
        </w:rPr>
        <w:t>марта</w:t>
      </w:r>
      <w:proofErr w:type="spellEnd"/>
      <w:r w:rsidR="006931AA">
        <w:rPr>
          <w:szCs w:val="28"/>
        </w:rPr>
        <w:t xml:space="preserve"> </w:t>
      </w:r>
      <w:r>
        <w:rPr>
          <w:szCs w:val="28"/>
        </w:rPr>
        <w:t xml:space="preserve">  2013г  №   _</w:t>
      </w:r>
      <w:r w:rsidR="006931AA">
        <w:rPr>
          <w:szCs w:val="28"/>
        </w:rPr>
        <w:t>188-п</w:t>
      </w:r>
      <w:r>
        <w:rPr>
          <w:szCs w:val="28"/>
        </w:rPr>
        <w:t>_</w:t>
      </w:r>
    </w:p>
    <w:p w:rsidR="006379B6" w:rsidRDefault="006379B6">
      <w:pPr>
        <w:ind w:left="180" w:right="76" w:firstLine="540"/>
        <w:jc w:val="center"/>
        <w:rPr>
          <w:b/>
          <w:szCs w:val="28"/>
        </w:rPr>
      </w:pPr>
    </w:p>
    <w:p w:rsidR="006379B6" w:rsidRDefault="006379B6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>О  создании комиссии по координации деятельности в сфере формирования доступной среды жизнедеятельности для инвалидов и других маломобильных групп населения</w:t>
      </w:r>
    </w:p>
    <w:p w:rsidR="006379B6" w:rsidRDefault="006379B6">
      <w:pPr>
        <w:pStyle w:val="HTML"/>
        <w:ind w:right="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79B6" w:rsidRDefault="006379B6">
      <w:pPr>
        <w:pStyle w:val="HTML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осуществления координации работ по обеспечению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препятственного </w:t>
      </w:r>
      <w:r>
        <w:rPr>
          <w:rFonts w:ascii="Times New Roman" w:hAnsi="Times New Roman"/>
          <w:sz w:val="28"/>
          <w:szCs w:val="28"/>
        </w:rPr>
        <w:t>доступа инвалидов к информации и объектам инфр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структуры, администрация Таштагольского муниципального района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становляет:</w:t>
      </w:r>
    </w:p>
    <w:p w:rsidR="006379B6" w:rsidRDefault="006379B6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9B6" w:rsidRDefault="006379B6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1.Создать комиссию по координации деятельности и контролю в сфере формирования доступной среды жизнедеятельности для инвалидов и других маломобильных групп населения и утвердить ее  состав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№1).</w:t>
      </w:r>
    </w:p>
    <w:p w:rsidR="006379B6" w:rsidRDefault="006379B6">
      <w:pPr>
        <w:pStyle w:val="a6"/>
        <w:ind w:right="0" w:firstLine="720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 (приложение №2).</w:t>
      </w:r>
    </w:p>
    <w:p w:rsidR="006379B6" w:rsidRDefault="006379B6">
      <w:pPr>
        <w:rPr>
          <w:szCs w:val="28"/>
        </w:rPr>
      </w:pPr>
      <w:r>
        <w:rPr>
          <w:szCs w:val="28"/>
        </w:rPr>
        <w:t xml:space="preserve">          3. Пресс-секретарю Жуковой М.Ю. обеспечить опубликование н</w:t>
      </w:r>
      <w:r>
        <w:rPr>
          <w:szCs w:val="28"/>
        </w:rPr>
        <w:t>а</w:t>
      </w:r>
      <w:r>
        <w:rPr>
          <w:szCs w:val="28"/>
        </w:rPr>
        <w:t xml:space="preserve">стоящего </w:t>
      </w:r>
      <w:r w:rsidR="0013460B">
        <w:rPr>
          <w:szCs w:val="28"/>
        </w:rPr>
        <w:t>постановления</w:t>
      </w:r>
      <w:r>
        <w:rPr>
          <w:szCs w:val="28"/>
        </w:rPr>
        <w:t xml:space="preserve"> в газете </w:t>
      </w:r>
      <w:proofErr w:type="gramStart"/>
      <w:r>
        <w:rPr>
          <w:szCs w:val="28"/>
        </w:rPr>
        <w:t>Красная</w:t>
      </w:r>
      <w:proofErr w:type="gramEnd"/>
      <w:r>
        <w:rPr>
          <w:szCs w:val="28"/>
        </w:rPr>
        <w:t xml:space="preserve"> Шория» и размещение на оф</w:t>
      </w:r>
      <w:r>
        <w:rPr>
          <w:szCs w:val="28"/>
        </w:rPr>
        <w:t>и</w:t>
      </w:r>
      <w:r>
        <w:rPr>
          <w:szCs w:val="28"/>
        </w:rPr>
        <w:t>циальном сайте Администрации Таштагольского</w:t>
      </w:r>
      <w:r w:rsidR="00D459AE">
        <w:rPr>
          <w:szCs w:val="28"/>
        </w:rPr>
        <w:t xml:space="preserve"> муниципального </w:t>
      </w:r>
      <w:r>
        <w:rPr>
          <w:szCs w:val="28"/>
        </w:rPr>
        <w:t>района.</w:t>
      </w:r>
    </w:p>
    <w:p w:rsidR="006379B6" w:rsidRDefault="006379B6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</w:t>
      </w:r>
      <w:r>
        <w:rPr>
          <w:sz w:val="28"/>
          <w:szCs w:val="28"/>
        </w:rPr>
        <w:t>е</w:t>
      </w:r>
      <w:r w:rsidR="00D459AE">
        <w:rPr>
          <w:sz w:val="28"/>
          <w:szCs w:val="28"/>
        </w:rPr>
        <w:t>ля Г</w:t>
      </w:r>
      <w:r>
        <w:rPr>
          <w:sz w:val="28"/>
          <w:szCs w:val="28"/>
        </w:rPr>
        <w:t xml:space="preserve">лавы </w:t>
      </w:r>
      <w:r w:rsidR="00D459AE">
        <w:rPr>
          <w:sz w:val="28"/>
          <w:szCs w:val="28"/>
        </w:rPr>
        <w:t xml:space="preserve">Таштагольского района </w:t>
      </w:r>
      <w:r>
        <w:rPr>
          <w:sz w:val="28"/>
          <w:szCs w:val="28"/>
        </w:rPr>
        <w:t xml:space="preserve"> по социальным вопросам Л.Н.Рябченко.</w:t>
      </w:r>
    </w:p>
    <w:p w:rsidR="006379B6" w:rsidRDefault="006379B6">
      <w:pPr>
        <w:pStyle w:val="31"/>
        <w:jc w:val="both"/>
      </w:pPr>
    </w:p>
    <w:p w:rsidR="006379B6" w:rsidRDefault="006379B6">
      <w:pPr>
        <w:pStyle w:val="31"/>
        <w:jc w:val="both"/>
        <w:rPr>
          <w:sz w:val="28"/>
          <w:szCs w:val="28"/>
        </w:rPr>
      </w:pPr>
    </w:p>
    <w:p w:rsidR="006379B6" w:rsidRDefault="006379B6">
      <w:pPr>
        <w:pStyle w:val="31"/>
        <w:jc w:val="both"/>
        <w:rPr>
          <w:sz w:val="28"/>
          <w:szCs w:val="28"/>
        </w:rPr>
      </w:pPr>
    </w:p>
    <w:p w:rsidR="006379B6" w:rsidRDefault="006379B6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79B6" w:rsidRDefault="006379B6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Таштагольского района                                                            В.Н.Макута</w:t>
      </w:r>
    </w:p>
    <w:p w:rsidR="006379B6" w:rsidRDefault="006379B6">
      <w:pPr>
        <w:pStyle w:val="31"/>
        <w:jc w:val="both"/>
        <w:rPr>
          <w:rFonts w:ascii="Arial Narrow" w:hAnsi="Arial Narrow"/>
          <w:b/>
          <w:sz w:val="20"/>
        </w:rPr>
      </w:pPr>
    </w:p>
    <w:p w:rsidR="006379B6" w:rsidRDefault="006379B6">
      <w:pPr>
        <w:ind w:left="4536"/>
        <w:jc w:val="right"/>
        <w:rPr>
          <w:sz w:val="24"/>
          <w:szCs w:val="24"/>
        </w:rPr>
      </w:pPr>
    </w:p>
    <w:p w:rsidR="006379B6" w:rsidRDefault="006379B6">
      <w:pPr>
        <w:ind w:left="4536"/>
        <w:jc w:val="right"/>
        <w:rPr>
          <w:sz w:val="24"/>
          <w:szCs w:val="24"/>
        </w:rPr>
      </w:pPr>
    </w:p>
    <w:p w:rsidR="006379B6" w:rsidRDefault="006379B6">
      <w:pPr>
        <w:ind w:left="4536"/>
        <w:jc w:val="right"/>
        <w:rPr>
          <w:sz w:val="24"/>
          <w:szCs w:val="24"/>
        </w:rPr>
      </w:pPr>
    </w:p>
    <w:p w:rsidR="00231143" w:rsidRDefault="00231143">
      <w:pPr>
        <w:ind w:left="4536"/>
        <w:jc w:val="right"/>
        <w:rPr>
          <w:sz w:val="24"/>
          <w:szCs w:val="24"/>
        </w:rPr>
      </w:pPr>
    </w:p>
    <w:p w:rsidR="00231143" w:rsidRDefault="00231143">
      <w:pPr>
        <w:ind w:left="4536"/>
        <w:jc w:val="right"/>
        <w:rPr>
          <w:sz w:val="24"/>
          <w:szCs w:val="24"/>
        </w:rPr>
      </w:pPr>
    </w:p>
    <w:p w:rsidR="006379B6" w:rsidRDefault="006379B6">
      <w:pPr>
        <w:ind w:left="4536"/>
        <w:jc w:val="right"/>
        <w:rPr>
          <w:sz w:val="24"/>
          <w:szCs w:val="24"/>
        </w:rPr>
      </w:pPr>
    </w:p>
    <w:p w:rsidR="006379B6" w:rsidRDefault="006379B6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379B6" w:rsidRDefault="006379B6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3460B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администрации</w:t>
      </w:r>
    </w:p>
    <w:p w:rsidR="006379B6" w:rsidRDefault="006379B6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Таштагольского муниципального </w:t>
      </w:r>
    </w:p>
    <w:p w:rsidR="006379B6" w:rsidRDefault="006379B6">
      <w:pPr>
        <w:tabs>
          <w:tab w:val="left" w:pos="59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района</w:t>
      </w:r>
    </w:p>
    <w:p w:rsidR="006379B6" w:rsidRDefault="006379B6">
      <w:pPr>
        <w:tabs>
          <w:tab w:val="left" w:pos="59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от_</w:t>
      </w:r>
      <w:r w:rsidR="006931AA">
        <w:rPr>
          <w:sz w:val="24"/>
          <w:szCs w:val="24"/>
        </w:rPr>
        <w:t>13.03.</w:t>
      </w:r>
      <w:r>
        <w:rPr>
          <w:sz w:val="24"/>
          <w:szCs w:val="24"/>
        </w:rPr>
        <w:t>2013 г. №__</w:t>
      </w:r>
      <w:r w:rsidR="006931AA">
        <w:rPr>
          <w:sz w:val="24"/>
          <w:szCs w:val="24"/>
        </w:rPr>
        <w:t>188-п</w:t>
      </w:r>
      <w:r>
        <w:rPr>
          <w:sz w:val="24"/>
          <w:szCs w:val="24"/>
        </w:rPr>
        <w:t>____</w:t>
      </w:r>
    </w:p>
    <w:p w:rsidR="006379B6" w:rsidRDefault="006379B6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6379B6" w:rsidRDefault="006379B6">
      <w:pPr>
        <w:jc w:val="center"/>
        <w:rPr>
          <w:b/>
          <w:szCs w:val="28"/>
        </w:rPr>
      </w:pPr>
      <w:r>
        <w:rPr>
          <w:b/>
          <w:szCs w:val="28"/>
        </w:rPr>
        <w:t xml:space="preserve">комиссии по координации деятельности в сфере </w:t>
      </w:r>
    </w:p>
    <w:p w:rsidR="006379B6" w:rsidRDefault="006379B6">
      <w:pPr>
        <w:jc w:val="center"/>
        <w:rPr>
          <w:b/>
          <w:szCs w:val="28"/>
        </w:rPr>
      </w:pPr>
      <w:r>
        <w:rPr>
          <w:b/>
          <w:szCs w:val="28"/>
        </w:rPr>
        <w:t xml:space="preserve">формирования доступной среды жизнедеятельности </w:t>
      </w:r>
    </w:p>
    <w:p w:rsidR="006379B6" w:rsidRDefault="006379B6">
      <w:pPr>
        <w:jc w:val="center"/>
        <w:rPr>
          <w:b/>
          <w:szCs w:val="28"/>
        </w:rPr>
      </w:pPr>
      <w:r>
        <w:rPr>
          <w:b/>
          <w:szCs w:val="28"/>
        </w:rPr>
        <w:t>для инвалидов и других маломобильных групп населения</w:t>
      </w:r>
    </w:p>
    <w:tbl>
      <w:tblPr>
        <w:tblW w:w="0" w:type="auto"/>
        <w:tblLayout w:type="fixed"/>
        <w:tblLook w:val="0000"/>
      </w:tblPr>
      <w:tblGrid>
        <w:gridCol w:w="4520"/>
        <w:gridCol w:w="4760"/>
      </w:tblGrid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sz w:val="26"/>
                <w:szCs w:val="26"/>
              </w:rPr>
            </w:pP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Рябченко Лариса Николаевна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Таштагольского муниципального района по социальным вопросам</w:t>
            </w: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Заместители председателя комиссии: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sz w:val="26"/>
                <w:szCs w:val="26"/>
              </w:rPr>
            </w:pP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Орлов Андрей Геннадьевич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numPr>
                <w:ilvl w:val="0"/>
                <w:numId w:val="5"/>
              </w:numPr>
              <w:snapToGrid w:val="0"/>
              <w:rPr>
                <w:szCs w:val="24"/>
              </w:rPr>
            </w:pPr>
            <w:r>
              <w:rPr>
                <w:sz w:val="26"/>
                <w:szCs w:val="26"/>
              </w:rPr>
              <w:t>заместитель главы администрации 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аштагола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Поцелуева Елена Борисовна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УСЗН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Таштагольского муниципального  района</w:t>
            </w: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Секретарь комиссии: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sz w:val="26"/>
                <w:szCs w:val="26"/>
              </w:rPr>
            </w:pP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Яцкова Раиса Александровна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УСЗН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Таштагольского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района</w:t>
            </w: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Члены комиссии: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sz w:val="26"/>
                <w:szCs w:val="26"/>
              </w:rPr>
            </w:pP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Болдышева  Татьяна Николаевна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numPr>
                <w:ilvl w:val="0"/>
                <w:numId w:val="5"/>
              </w:numPr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поддержки малого и среднего бизнеса администрации Таштагольского муниципального  района</w:t>
            </w: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Долганова Степанида Лукьяновна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numPr>
                <w:ilvl w:val="0"/>
                <w:numId w:val="5"/>
              </w:numPr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зам.директора МКУ ЦСОГПВиИ 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аштагол</w:t>
            </w: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Карасев Олег Юрьевич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 Таштагольского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 района </w:t>
            </w: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Ощепкова Марина Васильевна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numPr>
                <w:ilvl w:val="0"/>
                <w:numId w:val="5"/>
              </w:numPr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ЖКХ и благоус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ройства администрации Таштагол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муниципального  района</w:t>
            </w: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Карасева Надежда Семеновна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лавного врача  МУЗ «Ташт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гольская ЦРБ»</w:t>
            </w: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Грешилова Елена Николаевна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управления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 администрации  Ташт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гольского муниципального  района</w:t>
            </w: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Рудик Любовь Акимовна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Таштагольской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ской организации Всероссийского общества инвалидов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</w:tc>
      </w:tr>
    </w:tbl>
    <w:p w:rsidR="006379B6" w:rsidRDefault="006379B6">
      <w:pPr>
        <w:sectPr w:rsidR="006379B6" w:rsidSect="00231143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776" w:left="1701" w:header="720" w:footer="720" w:gutter="0"/>
          <w:pgNumType w:start="1"/>
          <w:cols w:space="720"/>
          <w:titlePg/>
          <w:docGrid w:linePitch="360"/>
        </w:sectPr>
      </w:pPr>
    </w:p>
    <w:p w:rsidR="006379B6" w:rsidRDefault="006379B6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379B6" w:rsidRDefault="006379B6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3460B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администрации</w:t>
      </w:r>
    </w:p>
    <w:p w:rsidR="006379B6" w:rsidRDefault="006379B6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Таштагольского муниципального </w:t>
      </w:r>
    </w:p>
    <w:p w:rsidR="006379B6" w:rsidRDefault="006379B6">
      <w:pPr>
        <w:tabs>
          <w:tab w:val="left" w:pos="59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района</w:t>
      </w:r>
    </w:p>
    <w:p w:rsidR="006379B6" w:rsidRDefault="006379B6">
      <w:pPr>
        <w:tabs>
          <w:tab w:val="left" w:pos="59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от__</w:t>
      </w:r>
      <w:r w:rsidR="006931AA">
        <w:rPr>
          <w:sz w:val="24"/>
          <w:szCs w:val="24"/>
        </w:rPr>
        <w:t>13.03.</w:t>
      </w:r>
      <w:r>
        <w:rPr>
          <w:sz w:val="24"/>
          <w:szCs w:val="24"/>
        </w:rPr>
        <w:t>2013 г. №__</w:t>
      </w:r>
      <w:r w:rsidR="006931AA">
        <w:rPr>
          <w:sz w:val="24"/>
          <w:szCs w:val="24"/>
        </w:rPr>
        <w:t>188-п</w:t>
      </w:r>
      <w:r>
        <w:rPr>
          <w:sz w:val="24"/>
          <w:szCs w:val="24"/>
        </w:rPr>
        <w:t>____</w:t>
      </w:r>
    </w:p>
    <w:p w:rsidR="006379B6" w:rsidRDefault="006379B6">
      <w:pPr>
        <w:ind w:left="4536"/>
        <w:rPr>
          <w:szCs w:val="28"/>
        </w:rPr>
      </w:pPr>
    </w:p>
    <w:p w:rsidR="006379B6" w:rsidRDefault="006379B6">
      <w:pPr>
        <w:ind w:left="4536"/>
        <w:rPr>
          <w:szCs w:val="28"/>
        </w:rPr>
      </w:pPr>
    </w:p>
    <w:p w:rsidR="006379B6" w:rsidRDefault="006379B6">
      <w:pPr>
        <w:pStyle w:val="a6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379B6" w:rsidRDefault="006379B6">
      <w:pPr>
        <w:pStyle w:val="a6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координации деятельности в сфере </w:t>
      </w:r>
    </w:p>
    <w:p w:rsidR="006379B6" w:rsidRDefault="006379B6">
      <w:pPr>
        <w:pStyle w:val="a6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доступной среды жизнедеятельности</w:t>
      </w:r>
    </w:p>
    <w:p w:rsidR="006379B6" w:rsidRDefault="006379B6">
      <w:pPr>
        <w:pStyle w:val="a6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инвалидов и других маломобильных групп населения</w:t>
      </w:r>
    </w:p>
    <w:p w:rsidR="006379B6" w:rsidRDefault="006379B6">
      <w:pPr>
        <w:pStyle w:val="a6"/>
        <w:ind w:left="568" w:right="57" w:hanging="568"/>
        <w:rPr>
          <w:b/>
          <w:sz w:val="26"/>
          <w:szCs w:val="26"/>
        </w:rPr>
      </w:pPr>
    </w:p>
    <w:p w:rsidR="006379B6" w:rsidRDefault="006379B6">
      <w:pPr>
        <w:pStyle w:val="a6"/>
        <w:ind w:left="568" w:right="57" w:hanging="568"/>
        <w:rPr>
          <w:b/>
          <w:sz w:val="26"/>
          <w:szCs w:val="26"/>
        </w:rPr>
      </w:pPr>
    </w:p>
    <w:p w:rsidR="006379B6" w:rsidRDefault="006379B6">
      <w:pPr>
        <w:pStyle w:val="a6"/>
        <w:ind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1.1. Комиссия образована в целях обеспечения организации, координации и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троля работ по созданию доступной среды жизнедеятельности для инвалидов и других маломобильных групп населения на территории Таштагольского района.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1.2. В своей деятельности Комиссия руководствуется действующим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тельством и другими нормативными правовыми актами Российской Федерации и К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меровской области в сфере формирования доступной среды жизнедеятельности для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валидов и других маломобильных групп населения.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1.3. Решения Комиссии носят рекомендательный характер.</w:t>
      </w:r>
    </w:p>
    <w:p w:rsidR="006379B6" w:rsidRDefault="006379B6">
      <w:pPr>
        <w:pStyle w:val="a6"/>
        <w:ind w:right="0" w:firstLine="708"/>
        <w:rPr>
          <w:b/>
          <w:sz w:val="24"/>
          <w:szCs w:val="24"/>
        </w:rPr>
      </w:pPr>
    </w:p>
    <w:p w:rsidR="006379B6" w:rsidRDefault="006379B6">
      <w:pPr>
        <w:pStyle w:val="a6"/>
        <w:ind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Комиссии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Основными задачами Комиссии являются: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2.1. Организация и координация деятельности организаций, предприятий и у</w:t>
      </w:r>
      <w:r>
        <w:rPr>
          <w:sz w:val="24"/>
          <w:szCs w:val="24"/>
        </w:rPr>
        <w:t>ч</w:t>
      </w:r>
      <w:r>
        <w:rPr>
          <w:sz w:val="24"/>
          <w:szCs w:val="24"/>
        </w:rPr>
        <w:t>реждений всех форм собственности в области формирования доступной среды жизн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деятельности для инвалидов и других маломобильных групп населения.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2.2. Взаимодействие с исполнительными органами власти и общественными объединениями инвалидов в области формирования доступной среды для инвалидов.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2.3. Осуществление контроля деятельности рабочих групп по  проведению анк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тирования, натурного обследования первоочередных объектов социальной инфрастру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туры на предмет доступности для инвалидов и маломобильных групп населения.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сультативная и методическая помощь рабочим группам, проводящим обследование.</w:t>
      </w:r>
    </w:p>
    <w:p w:rsidR="006379B6" w:rsidRDefault="006379B6">
      <w:pPr>
        <w:pStyle w:val="a6"/>
        <w:ind w:right="0" w:firstLine="708"/>
        <w:rPr>
          <w:b/>
          <w:sz w:val="24"/>
          <w:szCs w:val="24"/>
        </w:rPr>
      </w:pPr>
    </w:p>
    <w:p w:rsidR="006379B6" w:rsidRDefault="006379B6">
      <w:pPr>
        <w:pStyle w:val="a6"/>
        <w:ind w:righ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 Направления деятельности Комиссии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В соответствии со своими задачами, Комиссии осуществляет деятельность по следующим направлениям: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3.1. Организация работы по обследованию и анкетирование объектов социал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 инфраструктуры на предмет доступности для инвалидов и маломобильных групп населения. 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3.2. Рассмотрение результатов анкетирования, обследования объектов социал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инфраструктуры, проектов плана мероприятий по созданию условий для беспр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пятственного доступа инвалидов и других маломобильных групп населения к объектам социальной инфраструктуры.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3.3. Подготовка:</w:t>
      </w:r>
    </w:p>
    <w:p w:rsidR="006379B6" w:rsidRDefault="006379B6">
      <w:pPr>
        <w:pStyle w:val="a6"/>
        <w:numPr>
          <w:ilvl w:val="0"/>
          <w:numId w:val="5"/>
        </w:numPr>
        <w:ind w:right="0"/>
        <w:rPr>
          <w:sz w:val="24"/>
          <w:szCs w:val="24"/>
        </w:rPr>
      </w:pPr>
      <w:r>
        <w:rPr>
          <w:sz w:val="24"/>
          <w:szCs w:val="24"/>
        </w:rPr>
        <w:t>сводной информации о доступности для инвалидов обследованных объектов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альной инфраструктуры;</w:t>
      </w:r>
    </w:p>
    <w:p w:rsidR="006379B6" w:rsidRDefault="006379B6">
      <w:pPr>
        <w:pStyle w:val="a6"/>
        <w:numPr>
          <w:ilvl w:val="0"/>
          <w:numId w:val="5"/>
        </w:numPr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>предложений  по финансированию мероприятий по оборудованию наиболее знач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мых объектов социальной инфраструктуры, находящихся в муниципальной собс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венности, с учетом нужд инвалидов и других маломобильных групп населения;</w:t>
      </w:r>
    </w:p>
    <w:p w:rsidR="006379B6" w:rsidRDefault="006379B6">
      <w:pPr>
        <w:pStyle w:val="a6"/>
        <w:numPr>
          <w:ilvl w:val="0"/>
          <w:numId w:val="5"/>
        </w:numPr>
        <w:ind w:right="0"/>
        <w:rPr>
          <w:sz w:val="24"/>
          <w:szCs w:val="24"/>
        </w:rPr>
      </w:pPr>
      <w:r>
        <w:rPr>
          <w:sz w:val="24"/>
          <w:szCs w:val="24"/>
        </w:rPr>
        <w:t>предложений и рекомендаций заинтересованным организациям по вопросам 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рования доступной среды для инвалидов.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3.4. Взаимодействие в установленном порядке с общественными организациями, иными заинтересованными организациями при решении вопросов, относящихся к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петенции Комиссии.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3.5. Оказание информационной и методической помощи организациям, общес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венным организациям инвалидов, иным заинтересованным организациям по вопросам, связанным с формированием доступной среды для инвалидов.</w:t>
      </w:r>
    </w:p>
    <w:p w:rsidR="006379B6" w:rsidRDefault="006379B6">
      <w:pPr>
        <w:pStyle w:val="a6"/>
        <w:ind w:right="0" w:firstLine="708"/>
        <w:rPr>
          <w:b/>
          <w:sz w:val="24"/>
          <w:szCs w:val="24"/>
        </w:rPr>
      </w:pPr>
    </w:p>
    <w:p w:rsidR="006379B6" w:rsidRDefault="006379B6">
      <w:pPr>
        <w:pStyle w:val="a6"/>
        <w:ind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 Права Комиссии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Комиссия имеет право: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="00FC03F0">
        <w:rPr>
          <w:sz w:val="24"/>
          <w:szCs w:val="24"/>
        </w:rPr>
        <w:t>1</w:t>
      </w:r>
      <w:r>
        <w:rPr>
          <w:sz w:val="24"/>
          <w:szCs w:val="24"/>
        </w:rPr>
        <w:t>. Организовывать и проводить координационные совещания и рабочие встр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 по вопросам, относящимся к компетенции Комиссии.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="00FC03F0">
        <w:rPr>
          <w:sz w:val="24"/>
          <w:szCs w:val="24"/>
        </w:rPr>
        <w:t>2</w:t>
      </w:r>
      <w:r>
        <w:rPr>
          <w:sz w:val="24"/>
          <w:szCs w:val="24"/>
        </w:rPr>
        <w:t>. При</w:t>
      </w:r>
      <w:r w:rsidR="00FC03F0">
        <w:rPr>
          <w:sz w:val="24"/>
          <w:szCs w:val="24"/>
        </w:rPr>
        <w:t xml:space="preserve">глашать для участия в работе </w:t>
      </w:r>
      <w:r>
        <w:rPr>
          <w:sz w:val="24"/>
          <w:szCs w:val="24"/>
        </w:rPr>
        <w:t>Комиссии специалистов структурных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разделений администрации Таштагольского  муниципального района,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организаций и общественных объединений, учреждений и иных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ций.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="00FC03F0">
        <w:rPr>
          <w:sz w:val="24"/>
          <w:szCs w:val="24"/>
        </w:rPr>
        <w:t>3</w:t>
      </w:r>
      <w:r>
        <w:rPr>
          <w:sz w:val="24"/>
          <w:szCs w:val="24"/>
        </w:rPr>
        <w:t>.  Создавать, при необходимости, временные комиссии, экспертные и рабочие группы по вопросам, относящимся к компетенции Комиссии.</w:t>
      </w:r>
    </w:p>
    <w:p w:rsidR="006379B6" w:rsidRDefault="006379B6">
      <w:pPr>
        <w:pStyle w:val="a6"/>
        <w:ind w:right="0" w:firstLine="708"/>
        <w:rPr>
          <w:b/>
          <w:sz w:val="24"/>
          <w:szCs w:val="24"/>
        </w:rPr>
      </w:pPr>
    </w:p>
    <w:p w:rsidR="006379B6" w:rsidRDefault="006379B6">
      <w:pPr>
        <w:pStyle w:val="a6"/>
        <w:ind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 Состав Комиссии и организация деятельности Комиссии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5.1.  Решение о создании Комиссии, об утверждении и изменении персонального состава принимаются главой Таштагольского района.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5.2. Комиссия образуется в составе председателя, заместителя председателя, членов Комиссии и секретаря Комиссии.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5.3. Работой Комиссии руководит председатель Комиссии, а на период его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сутствия – заместитель председателя Комиссии.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Председатель Комиссии ведет заседания Комиссии, обеспечивает, контролирует выполнение решений Комиссии, назначает руководителей временных комиссий, эк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пертных и  рабочих групп, подписывает принятые Комиссией решения, принимает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шение о проведении внеочередного заседания Комиссии при необходимости безотлаг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тельного рассмотрения вопросов, относящихся к компетенции Комиссии, распределяет обязанности между членами Комиссии.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5.4. Ведение дел Комиссии осуществляет секретарь Комиссии, который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шений Комиссий, ведет протокол заседания Комиссии.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5.5. Подготовка материалов к заседанию Комиссии осуществляется структурн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подразделениями администрации Таштагольского муниципального района, к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петенции которых относятся вопросы повестки дня. 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Материалы должны быть предоставлены </w:t>
      </w:r>
      <w:proofErr w:type="gramStart"/>
      <w:r>
        <w:rPr>
          <w:sz w:val="24"/>
          <w:szCs w:val="24"/>
        </w:rPr>
        <w:t>секретарю</w:t>
      </w:r>
      <w:proofErr w:type="gramEnd"/>
      <w:r>
        <w:rPr>
          <w:sz w:val="24"/>
          <w:szCs w:val="24"/>
        </w:rPr>
        <w:t xml:space="preserve"> Комиссии не позднее, чем за пять дней до дня проведения заседания Комиссии.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В случае непредставления материалов в установленный Комиссией срок вопрос может быть снят с рассмотрения и рассмотрен на другом заседании Комиссии.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5.6. Члены Комиссии осуществляют работу в Комиссии на общественных нач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лах. 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5.7. Члены Комиссии вправе:</w:t>
      </w:r>
    </w:p>
    <w:p w:rsidR="006379B6" w:rsidRDefault="006379B6">
      <w:pPr>
        <w:pStyle w:val="a6"/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t>знакомиться с материалами заседаний Комиссии;</w:t>
      </w:r>
    </w:p>
    <w:p w:rsidR="006379B6" w:rsidRDefault="006379B6">
      <w:pPr>
        <w:pStyle w:val="a6"/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>вносить предложения по формированию повестки дня заседания Комиссии.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5.8. Члены Комиссии обязаны:</w:t>
      </w:r>
    </w:p>
    <w:p w:rsidR="006379B6" w:rsidRDefault="006379B6">
      <w:pPr>
        <w:pStyle w:val="a6"/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по ним решений;</w:t>
      </w:r>
    </w:p>
    <w:p w:rsidR="006379B6" w:rsidRDefault="006379B6">
      <w:pPr>
        <w:pStyle w:val="a6"/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при невозможности присутствия на заседании Комиссии заблаговременно извещать об этом секретаря Комиссии;</w:t>
      </w:r>
    </w:p>
    <w:p w:rsidR="006379B6" w:rsidRDefault="006379B6">
      <w:pPr>
        <w:pStyle w:val="a6"/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в случае необходимости направлять секретарю Комиссии свое мнение по вопросам повестки дня в письменном виде.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5.9. Заседания Комиссии проводятся по мере необходимости, но не реже двух раз в год.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Комиссия, при необходимости, может проводить выездные заседания.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Заседание Комиссии оформляется протоколом с указанием даты и места засед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содержания рассматриваемых вопросов, сведений о явке членов Комиссии и лиц, приглашенных на заседание Комиссии, других данных, относящихся к рассматрива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мому вопросу, а также сведений о принятых решениях. 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Протокол подписывается председательствующим на заседании и секретарем    Комиссии.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При равенстве голосов голос предс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дательствующего на заседании Комиссии является решающим.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5.10. Председатель и заместители председателя Комиссии несут ответственность за организацию работы Комиссии.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5.11. Организационно-техническое обеспечение работы Комиссии возлагается на управление социальной защиты населения администрации Таштагольского  района.</w:t>
      </w:r>
    </w:p>
    <w:p w:rsidR="006379B6" w:rsidRDefault="006379B6">
      <w:pPr>
        <w:pStyle w:val="a6"/>
        <w:ind w:right="0" w:firstLine="708"/>
        <w:rPr>
          <w:b/>
          <w:sz w:val="24"/>
          <w:szCs w:val="24"/>
        </w:rPr>
      </w:pPr>
    </w:p>
    <w:p w:rsidR="006379B6" w:rsidRDefault="006379B6">
      <w:pPr>
        <w:pStyle w:val="a6"/>
        <w:ind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6. Прекращение деятельности Комиссии</w:t>
      </w:r>
    </w:p>
    <w:p w:rsidR="006379B6" w:rsidRDefault="006379B6">
      <w:pPr>
        <w:pStyle w:val="a6"/>
        <w:ind w:right="0" w:firstLine="708"/>
        <w:rPr>
          <w:sz w:val="24"/>
          <w:szCs w:val="24"/>
        </w:rPr>
      </w:pPr>
    </w:p>
    <w:p w:rsidR="006379B6" w:rsidRDefault="006379B6">
      <w:pPr>
        <w:pStyle w:val="a6"/>
        <w:ind w:right="0" w:firstLine="708"/>
        <w:rPr>
          <w:sz w:val="24"/>
          <w:szCs w:val="24"/>
        </w:rPr>
      </w:pPr>
      <w:r>
        <w:rPr>
          <w:sz w:val="24"/>
          <w:szCs w:val="24"/>
        </w:rPr>
        <w:t>Прекращение деятельности Комиссии осуществляется главой  Таштагольского района.</w:t>
      </w:r>
    </w:p>
    <w:p w:rsidR="006379B6" w:rsidRDefault="006379B6">
      <w:pPr>
        <w:pStyle w:val="a6"/>
        <w:ind w:right="57"/>
        <w:jc w:val="center"/>
      </w:pPr>
    </w:p>
    <w:sectPr w:rsidR="006379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77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D1" w:rsidRDefault="00654ED1">
      <w:r>
        <w:separator/>
      </w:r>
    </w:p>
  </w:endnote>
  <w:endnote w:type="continuationSeparator" w:id="0">
    <w:p w:rsidR="00654ED1" w:rsidRDefault="0065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43" w:rsidRDefault="00231143" w:rsidP="003B13BC">
    <w:pPr>
      <w:pStyle w:val="af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379B6" w:rsidRDefault="006379B6" w:rsidP="00231143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43" w:rsidRDefault="00231143" w:rsidP="003B13BC">
    <w:pPr>
      <w:pStyle w:val="af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31AA">
      <w:rPr>
        <w:rStyle w:val="a3"/>
        <w:noProof/>
      </w:rPr>
      <w:t>2</w:t>
    </w:r>
    <w:r>
      <w:rPr>
        <w:rStyle w:val="a3"/>
      </w:rPr>
      <w:fldChar w:fldCharType="end"/>
    </w:r>
  </w:p>
  <w:p w:rsidR="006379B6" w:rsidRDefault="006379B6" w:rsidP="00231143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B6" w:rsidRDefault="006379B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B6" w:rsidRDefault="006379B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B6" w:rsidRDefault="006379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D1" w:rsidRDefault="00654ED1">
      <w:r>
        <w:separator/>
      </w:r>
    </w:p>
  </w:footnote>
  <w:footnote w:type="continuationSeparator" w:id="0">
    <w:p w:rsidR="00654ED1" w:rsidRDefault="00654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B6" w:rsidRDefault="006379B6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6.7pt;height:15.7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379B6" w:rsidRDefault="006379B6">
                <w:pPr>
                  <w:pStyle w:val="af0"/>
                  <w:rPr>
                    <w:rStyle w:val="a3"/>
                  </w:rPr>
                </w:pP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B6" w:rsidRDefault="006379B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B6" w:rsidRDefault="006379B6">
    <w:pPr>
      <w:pStyle w:val="af0"/>
    </w:pPr>
    <w:r>
      <w:t xml:space="preserve">                                                                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.05pt;width:6.7pt;height:15.75pt;z-index:251658240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:rsidR="006379B6" w:rsidRDefault="006379B6">
                <w:pPr>
                  <w:pStyle w:val="af0"/>
                  <w:rPr>
                    <w:rStyle w:val="a3"/>
                  </w:rPr>
                </w:pPr>
              </w:p>
            </w:txbxContent>
          </v:textbox>
          <w10:wrap type="square" side="larges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B6" w:rsidRDefault="006379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/>
        <w:b w:val="0"/>
        <w:i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3F0"/>
    <w:rsid w:val="001246EB"/>
    <w:rsid w:val="0013460B"/>
    <w:rsid w:val="00231143"/>
    <w:rsid w:val="003B13BC"/>
    <w:rsid w:val="006379B6"/>
    <w:rsid w:val="00654ED1"/>
    <w:rsid w:val="006931AA"/>
    <w:rsid w:val="00D459AE"/>
    <w:rsid w:val="00FA75E2"/>
    <w:rsid w:val="00FC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left"/>
      <w:outlineLvl w:val="4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0" w:right="-52" w:firstLine="0"/>
      <w:outlineLvl w:val="8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8"/>
      <w:szCs w:val="28"/>
    </w:rPr>
  </w:style>
  <w:style w:type="character" w:customStyle="1" w:styleId="WW8Num2z1">
    <w:name w:val="WW8Num2z1"/>
    <w:rPr>
      <w:rFonts w:ascii="Symbol" w:hAnsi="Symbol"/>
      <w:b w:val="0"/>
      <w:i w:val="0"/>
      <w:sz w:val="28"/>
      <w:szCs w:val="28"/>
    </w:rPr>
  </w:style>
  <w:style w:type="character" w:customStyle="1" w:styleId="WW8Num3z0">
    <w:name w:val="WW8Num3z0"/>
    <w:rPr>
      <w:rFonts w:ascii="Courier" w:hAnsi="Courier" w:cs="Courier"/>
    </w:rPr>
  </w:style>
  <w:style w:type="character" w:customStyle="1" w:styleId="WW8Num4z0">
    <w:name w:val="WW8Num4z0"/>
    <w:rPr>
      <w:rFonts w:ascii="Courier" w:hAnsi="Courier" w:cs="Courier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Courier" w:hAnsi="Courier" w:cs="Courier"/>
    </w:rPr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hAnsi="Times New Roman"/>
      <w:b w:val="0"/>
      <w:i w:val="0"/>
      <w:sz w:val="28"/>
      <w:szCs w:val="28"/>
    </w:rPr>
  </w:style>
  <w:style w:type="character" w:customStyle="1" w:styleId="WW8Num1z1">
    <w:name w:val="WW8Num1z1"/>
    <w:rPr>
      <w:rFonts w:ascii="Symbol" w:hAnsi="Symbol"/>
      <w:b w:val="0"/>
      <w:i w:val="0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" w:hAnsi="Courier" w:cs="Courier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pPr>
      <w:ind w:right="-3828"/>
    </w:pPr>
    <w:rPr>
      <w:sz w:val="52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8">
    <w:name w:val="Администрация"/>
    <w:pPr>
      <w:tabs>
        <w:tab w:val="left" w:pos="284"/>
      </w:tabs>
      <w:suppressAutoHyphens/>
      <w:spacing w:line="360" w:lineRule="auto"/>
      <w:ind w:firstLine="709"/>
    </w:pPr>
    <w:rPr>
      <w:rFonts w:eastAsia="Arial"/>
      <w:sz w:val="28"/>
      <w:lang w:eastAsia="ar-SA"/>
    </w:rPr>
  </w:style>
  <w:style w:type="paragraph" w:customStyle="1" w:styleId="a9">
    <w:name w:val="постановление"/>
    <w:pPr>
      <w:suppressAutoHyphens/>
      <w:ind w:right="-1"/>
      <w:jc w:val="both"/>
    </w:pPr>
    <w:rPr>
      <w:rFonts w:ascii="Arial" w:eastAsia="Arial" w:hAnsi="Arial"/>
      <w:sz w:val="24"/>
      <w:lang w:eastAsia="ar-SA"/>
    </w:rPr>
  </w:style>
  <w:style w:type="paragraph" w:customStyle="1" w:styleId="aa">
    <w:name w:val="Список маркированный"/>
    <w:basedOn w:val="a"/>
    <w:pPr>
      <w:numPr>
        <w:numId w:val="2"/>
      </w:numPr>
    </w:pPr>
  </w:style>
  <w:style w:type="paragraph" w:styleId="ab">
    <w:name w:val="Body Text Indent"/>
    <w:basedOn w:val="a"/>
    <w:pPr>
      <w:ind w:firstLine="709"/>
    </w:pPr>
  </w:style>
  <w:style w:type="paragraph" w:customStyle="1" w:styleId="31">
    <w:name w:val="Основной текст 31"/>
    <w:basedOn w:val="a"/>
    <w:pPr>
      <w:jc w:val="left"/>
    </w:pPr>
    <w:rPr>
      <w:sz w:val="24"/>
    </w:rPr>
  </w:style>
  <w:style w:type="paragraph" w:styleId="ac">
    <w:name w:val="Title"/>
    <w:basedOn w:val="a"/>
    <w:next w:val="ad"/>
    <w:qFormat/>
    <w:pPr>
      <w:tabs>
        <w:tab w:val="left" w:pos="1560"/>
      </w:tabs>
      <w:jc w:val="center"/>
    </w:pPr>
    <w:rPr>
      <w:b/>
      <w:caps/>
      <w:sz w:val="22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e">
    <w:name w:val=" 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/>
    </w:rPr>
  </w:style>
  <w:style w:type="paragraph" w:customStyle="1" w:styleId="af">
    <w:name w:val="Дата печати"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6"/>
  </w:style>
  <w:style w:type="paragraph" w:styleId="af4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1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Luda</cp:lastModifiedBy>
  <cp:revision>2</cp:revision>
  <cp:lastPrinted>2013-03-12T09:08:00Z</cp:lastPrinted>
  <dcterms:created xsi:type="dcterms:W3CDTF">2013-03-14T03:50:00Z</dcterms:created>
  <dcterms:modified xsi:type="dcterms:W3CDTF">2013-03-14T03:50:00Z</dcterms:modified>
</cp:coreProperties>
</file>